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C43C6F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C43C6F" w:rsidRPr="00C43C6F">
              <w:rPr>
                <w:sz w:val="24"/>
                <w:szCs w:val="24"/>
              </w:rPr>
              <w:t>Diagnostic routes and time intervals for patients with colorectal cancer in 10 international jurisdictions; findings from a cross-sectional study from the International Cancer Benchmarking Partnership (ICBP)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0D5D9A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D5D9A" w:rsidRPr="000D5D9A">
              <w:rPr>
                <w:sz w:val="24"/>
                <w:szCs w:val="24"/>
              </w:rPr>
              <w:t>David Weller, Usha Menon, Alina Zalounina Falborg, Henry Jensen,</w:t>
            </w:r>
            <w:r w:rsidR="000D5D9A">
              <w:rPr>
                <w:sz w:val="24"/>
                <w:szCs w:val="24"/>
              </w:rPr>
              <w:t xml:space="preserve"> </w:t>
            </w:r>
            <w:r w:rsidR="000D5D9A" w:rsidRPr="000D5D9A">
              <w:rPr>
                <w:sz w:val="24"/>
                <w:szCs w:val="24"/>
              </w:rPr>
              <w:t>Andriana Barisic, Anne Kari Knudsen, Rebecca J Bergin, David H Brewster, Victoria Cairnduff, Anna T Gavin, Eva Grunfeld, Elizabeth Harland, Mats Lambe, Rebecca-Jane Law, Yulan Lin, Martin Malmberg, Donna Turner, Richard D Neal</w:t>
            </w:r>
            <w:r w:rsidR="000D5D9A">
              <w:rPr>
                <w:sz w:val="24"/>
                <w:szCs w:val="24"/>
              </w:rPr>
              <w:t>,</w:t>
            </w:r>
            <w:r w:rsidR="000D5D9A" w:rsidRPr="000D5D9A">
              <w:rPr>
                <w:sz w:val="24"/>
                <w:szCs w:val="24"/>
              </w:rPr>
              <w:t xml:space="preserve"> Victoria White, Samantha Harrison,</w:t>
            </w:r>
            <w:r w:rsidR="000D5D9A">
              <w:rPr>
                <w:sz w:val="24"/>
                <w:szCs w:val="24"/>
              </w:rPr>
              <w:t xml:space="preserve"> </w:t>
            </w:r>
            <w:r w:rsidR="000D5D9A" w:rsidRPr="000D5D9A">
              <w:rPr>
                <w:sz w:val="24"/>
                <w:szCs w:val="24"/>
              </w:rPr>
              <w:t>Irene Reguilon,</w:t>
            </w:r>
            <w:r w:rsidR="000D5D9A">
              <w:rPr>
                <w:sz w:val="24"/>
                <w:szCs w:val="24"/>
              </w:rPr>
              <w:t xml:space="preserve"> </w:t>
            </w:r>
            <w:r w:rsidR="000D5D9A" w:rsidRPr="000D5D9A">
              <w:rPr>
                <w:sz w:val="24"/>
                <w:szCs w:val="24"/>
              </w:rPr>
              <w:t xml:space="preserve">ICBP Module </w:t>
            </w:r>
            <w:r w:rsidR="000D5D9A">
              <w:rPr>
                <w:sz w:val="24"/>
                <w:szCs w:val="24"/>
              </w:rPr>
              <w:t xml:space="preserve">, </w:t>
            </w:r>
            <w:r w:rsidR="000D5D9A" w:rsidRPr="000D5D9A">
              <w:rPr>
                <w:sz w:val="24"/>
                <w:szCs w:val="24"/>
              </w:rPr>
              <w:t>Working Group, Peter Vedsted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0D5D9A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D5D9A">
              <w:rPr>
                <w:sz w:val="24"/>
                <w:szCs w:val="24"/>
              </w:rPr>
              <w:t>British Medical Journal Open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0D5D9A" w:rsidRPr="000D5D9A">
              <w:rPr>
                <w:sz w:val="24"/>
                <w:szCs w:val="24"/>
              </w:rPr>
              <w:t xml:space="preserve">doi.org/10.1136/bmjopen-2018-023870 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0D5D9A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D5D9A">
              <w:rPr>
                <w:sz w:val="24"/>
                <w:szCs w:val="24"/>
              </w:rPr>
              <w:t>Multiple including Public Health Agency for Northern Ireland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511BA">
              <w:rPr>
                <w:sz w:val="24"/>
                <w:szCs w:val="24"/>
              </w:rPr>
            </w:r>
            <w:r w:rsidR="001511B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511BA">
              <w:rPr>
                <w:sz w:val="24"/>
                <w:szCs w:val="24"/>
              </w:rPr>
            </w:r>
            <w:r w:rsidR="001511B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511BA">
              <w:rPr>
                <w:sz w:val="24"/>
                <w:szCs w:val="24"/>
              </w:rPr>
            </w:r>
            <w:r w:rsidR="001511B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33269" w:rsidRDefault="00510DF2" w:rsidP="00B33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3269" w:rsidRPr="00B33269">
              <w:rPr>
                <w:sz w:val="24"/>
                <w:szCs w:val="24"/>
              </w:rPr>
              <w:t>The main route to diagnosis for patients was symptomatic presentation and the most commonly reported symptom was ‘bleeding/blood in stool’. The median intervals between jurisdictions ranged from: 21 to 49 days (patient</w:t>
            </w:r>
            <w:r w:rsidR="005F5E6A">
              <w:rPr>
                <w:sz w:val="24"/>
                <w:szCs w:val="24"/>
              </w:rPr>
              <w:t>) (NI35);</w:t>
            </w:r>
            <w:r w:rsidR="00B33269" w:rsidRPr="00B33269">
              <w:rPr>
                <w:sz w:val="24"/>
                <w:szCs w:val="24"/>
              </w:rPr>
              <w:t xml:space="preserve"> 0 to 12 days (primary care)</w:t>
            </w:r>
            <w:r w:rsidR="005F5E6A">
              <w:rPr>
                <w:sz w:val="24"/>
                <w:szCs w:val="24"/>
              </w:rPr>
              <w:t xml:space="preserve"> NI=0 </w:t>
            </w:r>
            <w:r w:rsidR="00B33269" w:rsidRPr="00B33269">
              <w:rPr>
                <w:sz w:val="24"/>
                <w:szCs w:val="24"/>
              </w:rPr>
              <w:t>; 27 to 76 days (diagnostic)</w:t>
            </w:r>
            <w:r w:rsidR="005F5E6A">
              <w:rPr>
                <w:sz w:val="24"/>
                <w:szCs w:val="24"/>
              </w:rPr>
              <w:t xml:space="preserve"> NI=64</w:t>
            </w:r>
            <w:r w:rsidR="00B33269" w:rsidRPr="00B33269">
              <w:rPr>
                <w:sz w:val="24"/>
                <w:szCs w:val="24"/>
              </w:rPr>
              <w:t>; and 77 to 168 days</w:t>
            </w:r>
            <w:r w:rsidR="005F5E6A">
              <w:rPr>
                <w:sz w:val="24"/>
                <w:szCs w:val="24"/>
              </w:rPr>
              <w:t xml:space="preserve"> (NI111)</w:t>
            </w:r>
            <w:r w:rsidR="00B33269" w:rsidRPr="00B33269">
              <w:rPr>
                <w:sz w:val="24"/>
                <w:szCs w:val="24"/>
              </w:rPr>
              <w:t xml:space="preserve"> (total, from first symptom to treatment start). Including screen-detected cases did not significantly alter the overall results. </w:t>
            </w:r>
          </w:p>
          <w:p w:rsidR="009937E2" w:rsidRDefault="00B33269" w:rsidP="00B33269">
            <w:pPr>
              <w:rPr>
                <w:sz w:val="24"/>
                <w:szCs w:val="24"/>
              </w:rPr>
            </w:pPr>
            <w:r w:rsidRPr="00B33269">
              <w:rPr>
                <w:sz w:val="24"/>
                <w:szCs w:val="24"/>
              </w:rPr>
              <w:t>ICBP M4 demonstrates important differences in time intervals between 10 jurisdictions internationally.</w:t>
            </w:r>
          </w:p>
          <w:p w:rsidR="00510DF2" w:rsidRDefault="009937E2" w:rsidP="009937E2">
            <w:r>
              <w:rPr>
                <w:sz w:val="24"/>
                <w:szCs w:val="24"/>
              </w:rPr>
              <w:t>Survival at one and five years improved in all areas including Northern Ireland. 568 patients were included from Northern Ireland, 59% were male, 55% no comobidity, 84% presented symptomaticaly, 6.5% via A&amp;E 13.8% screening.</w:t>
            </w:r>
            <w:bookmarkStart w:id="4" w:name="_GoBack"/>
            <w:bookmarkEnd w:id="4"/>
            <w:r>
              <w:rPr>
                <w:sz w:val="24"/>
                <w:szCs w:val="24"/>
              </w:rPr>
              <w:t xml:space="preserve"> </w:t>
            </w:r>
            <w:r w:rsidR="00B33269" w:rsidRPr="00B33269">
              <w:rPr>
                <w:sz w:val="24"/>
                <w:szCs w:val="24"/>
              </w:rPr>
              <w:t xml:space="preserve"> </w:t>
            </w:r>
            <w:r w:rsidR="00510DF2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B3326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3269" w:rsidRPr="00B33269">
              <w:rPr>
                <w:sz w:val="24"/>
                <w:szCs w:val="24"/>
              </w:rPr>
              <w:t>The differences may justify efforts to reduce intervals in some jurisdictions.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BA" w:rsidRDefault="001511BA" w:rsidP="00DC422A">
      <w:r>
        <w:separator/>
      </w:r>
    </w:p>
  </w:endnote>
  <w:endnote w:type="continuationSeparator" w:id="0">
    <w:p w:rsidR="001511BA" w:rsidRDefault="001511BA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BA" w:rsidRDefault="001511BA" w:rsidP="00DC422A">
      <w:r>
        <w:separator/>
      </w:r>
    </w:p>
  </w:footnote>
  <w:footnote w:type="continuationSeparator" w:id="0">
    <w:p w:rsidR="001511BA" w:rsidRDefault="001511BA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D5D9A"/>
    <w:rsid w:val="000F0F6A"/>
    <w:rsid w:val="00107B4C"/>
    <w:rsid w:val="0014471D"/>
    <w:rsid w:val="001511BA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4F0B01"/>
    <w:rsid w:val="00510DF2"/>
    <w:rsid w:val="0051356F"/>
    <w:rsid w:val="005446C2"/>
    <w:rsid w:val="005673DF"/>
    <w:rsid w:val="00582BCB"/>
    <w:rsid w:val="005940DE"/>
    <w:rsid w:val="005A0503"/>
    <w:rsid w:val="005B6393"/>
    <w:rsid w:val="005F5E6A"/>
    <w:rsid w:val="006259A3"/>
    <w:rsid w:val="00640D53"/>
    <w:rsid w:val="006C0514"/>
    <w:rsid w:val="006C34D4"/>
    <w:rsid w:val="006F4C44"/>
    <w:rsid w:val="0071191A"/>
    <w:rsid w:val="00717468"/>
    <w:rsid w:val="007228D7"/>
    <w:rsid w:val="00797FB4"/>
    <w:rsid w:val="007A2BF5"/>
    <w:rsid w:val="007A4ABF"/>
    <w:rsid w:val="007B3D37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8D734B"/>
    <w:rsid w:val="009032B9"/>
    <w:rsid w:val="00904F69"/>
    <w:rsid w:val="00931D70"/>
    <w:rsid w:val="00986F65"/>
    <w:rsid w:val="009937E2"/>
    <w:rsid w:val="009B7008"/>
    <w:rsid w:val="009C66F1"/>
    <w:rsid w:val="009F7555"/>
    <w:rsid w:val="00A03740"/>
    <w:rsid w:val="00A058EF"/>
    <w:rsid w:val="00A44386"/>
    <w:rsid w:val="00A82B3D"/>
    <w:rsid w:val="00B14054"/>
    <w:rsid w:val="00B16F14"/>
    <w:rsid w:val="00B33269"/>
    <w:rsid w:val="00B521A2"/>
    <w:rsid w:val="00BB20DC"/>
    <w:rsid w:val="00BF28F0"/>
    <w:rsid w:val="00C11938"/>
    <w:rsid w:val="00C17973"/>
    <w:rsid w:val="00C43C6F"/>
    <w:rsid w:val="00C56376"/>
    <w:rsid w:val="00CA2782"/>
    <w:rsid w:val="00CF2D47"/>
    <w:rsid w:val="00D723C0"/>
    <w:rsid w:val="00DA20B9"/>
    <w:rsid w:val="00DC422A"/>
    <w:rsid w:val="00DD3144"/>
    <w:rsid w:val="00E22C7D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25569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441564"/>
    <w:rsid w:val="00475703"/>
    <w:rsid w:val="00826837"/>
    <w:rsid w:val="008D2B3C"/>
    <w:rsid w:val="00955E4A"/>
    <w:rsid w:val="00C31700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6EF7-3CCB-49DF-9042-3FE19B38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6</cp:revision>
  <cp:lastPrinted>2019-02-18T12:39:00Z</cp:lastPrinted>
  <dcterms:created xsi:type="dcterms:W3CDTF">2019-02-18T12:41:00Z</dcterms:created>
  <dcterms:modified xsi:type="dcterms:W3CDTF">2019-02-19T10:34:00Z</dcterms:modified>
</cp:coreProperties>
</file>